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C31F45">
        <w:rPr>
          <w:rFonts w:ascii="Times New Roman" w:eastAsia="Times New Roman" w:hAnsi="Times New Roman" w:cs="Times New Roman"/>
          <w:b/>
          <w:sz w:val="28"/>
          <w:szCs w:val="28"/>
          <w:lang w:eastAsia="pt-BR"/>
        </w:rPr>
        <w:t>20</w:t>
      </w:r>
      <w:r w:rsidR="00EC31DB">
        <w:rPr>
          <w:rFonts w:ascii="Times New Roman" w:eastAsia="Times New Roman" w:hAnsi="Times New Roman" w:cs="Times New Roman"/>
          <w:b/>
          <w:sz w:val="28"/>
          <w:szCs w:val="28"/>
          <w:lang w:eastAsia="pt-BR"/>
        </w:rPr>
        <w:t>9</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C31F45">
        <w:rPr>
          <w:rFonts w:ascii="Times New Roman" w:eastAsia="Times New Roman" w:hAnsi="Times New Roman" w:cs="Times New Roman"/>
          <w:b/>
          <w:sz w:val="28"/>
          <w:szCs w:val="28"/>
          <w:lang w:eastAsia="pt-BR"/>
        </w:rPr>
        <w:t>16</w:t>
      </w:r>
      <w:r w:rsidR="00EC31DB">
        <w:rPr>
          <w:rFonts w:ascii="Times New Roman" w:eastAsia="Times New Roman" w:hAnsi="Times New Roman" w:cs="Times New Roman"/>
          <w:b/>
          <w:sz w:val="28"/>
          <w:szCs w:val="28"/>
          <w:lang w:eastAsia="pt-BR"/>
        </w:rPr>
        <w:t>3</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C31F45">
        <w:rPr>
          <w:rFonts w:ascii="Times New Roman" w:eastAsia="Times New Roman" w:hAnsi="Times New Roman" w:cs="Times New Roman"/>
          <w:highlight w:val="yellow"/>
          <w:lang w:eastAsia="pt-BR"/>
        </w:rPr>
        <w:fldChar w:fldCharType="begin"/>
      </w:r>
      <w:r w:rsidRPr="00C31F45">
        <w:rPr>
          <w:rFonts w:ascii="Times New Roman" w:eastAsia="Times New Roman" w:hAnsi="Times New Roman" w:cs="Times New Roman"/>
          <w:highlight w:val="yellow"/>
          <w:lang w:eastAsia="pt-BR"/>
        </w:rPr>
        <w:instrText xml:space="preserve"> DOCVARIABLE "DataAbertura" \* MERGEFORMAT </w:instrText>
      </w:r>
      <w:r w:rsidRPr="00C31F45">
        <w:rPr>
          <w:rFonts w:ascii="Times New Roman" w:eastAsia="Times New Roman" w:hAnsi="Times New Roman" w:cs="Times New Roman"/>
          <w:highlight w:val="yellow"/>
          <w:lang w:eastAsia="pt-BR"/>
        </w:rPr>
        <w:fldChar w:fldCharType="separate"/>
      </w:r>
      <w:r w:rsidR="008F2D93">
        <w:rPr>
          <w:rFonts w:ascii="Times New Roman" w:eastAsia="Times New Roman" w:hAnsi="Times New Roman" w:cs="Arial"/>
          <w:b/>
          <w:highlight w:val="yellow"/>
          <w:lang w:eastAsia="pt-BR"/>
        </w:rPr>
        <w:t>31/10</w:t>
      </w:r>
      <w:r w:rsidRPr="00C31F45">
        <w:rPr>
          <w:rFonts w:ascii="Times New Roman" w:eastAsia="Times New Roman" w:hAnsi="Times New Roman" w:cs="Arial"/>
          <w:b/>
          <w:highlight w:val="yellow"/>
          <w:lang w:eastAsia="pt-BR"/>
        </w:rPr>
        <w:t>/2016</w:t>
      </w:r>
      <w:r w:rsidRPr="00C31F45">
        <w:rPr>
          <w:rFonts w:ascii="Times New Roman" w:eastAsia="Times New Roman" w:hAnsi="Times New Roman" w:cs="Times New Roman"/>
          <w:highlight w:val="yellow"/>
          <w:lang w:eastAsia="pt-BR"/>
        </w:rPr>
        <w:fldChar w:fldCharType="end"/>
      </w:r>
      <w:r w:rsidRPr="00C31F45">
        <w:rPr>
          <w:rFonts w:ascii="Times New Roman" w:eastAsia="Times New Roman" w:hAnsi="Times New Roman" w:cs="Times New Roman"/>
          <w:highlight w:val="yellow"/>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C31F45">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EC31DB" w:rsidRPr="00EC31DB" w:rsidRDefault="0064114E" w:rsidP="00EC31DB">
      <w:pPr>
        <w:pStyle w:val="PargrafodaLista"/>
        <w:numPr>
          <w:ilvl w:val="1"/>
          <w:numId w:val="29"/>
        </w:numPr>
        <w:spacing w:line="276" w:lineRule="auto"/>
        <w:jc w:val="both"/>
        <w:rPr>
          <w:b/>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EC31DB" w:rsidRPr="00EC31DB">
        <w:rPr>
          <w:b/>
          <w:sz w:val="22"/>
          <w:szCs w:val="22"/>
        </w:rPr>
        <w:t xml:space="preserve">AQUISIÇÃO DE SERVIÇOS DE LAVAÇÃO DE VEICULOS PERTENCENTES </w:t>
      </w:r>
      <w:proofErr w:type="gramStart"/>
      <w:r w:rsidR="00EC31DB" w:rsidRPr="00EC31DB">
        <w:rPr>
          <w:b/>
          <w:sz w:val="22"/>
          <w:szCs w:val="22"/>
        </w:rPr>
        <w:t>A</w:t>
      </w:r>
      <w:proofErr w:type="gramEnd"/>
      <w:r w:rsidR="00EC31DB" w:rsidRPr="00EC31DB">
        <w:rPr>
          <w:b/>
          <w:sz w:val="22"/>
          <w:szCs w:val="22"/>
        </w:rPr>
        <w:t xml:space="preserve"> SECRETARIA MUNICIPAL DE AGRICULTURA, INDUSTRIA, COMÉRCIO, MEIO AMBIENTE E DESENVOLVIMENTO ECONÔMICO, modalidade fornecimento parcelada,</w:t>
      </w:r>
      <w:r w:rsidR="00EC31DB">
        <w:rPr>
          <w:b/>
          <w:sz w:val="22"/>
          <w:szCs w:val="22"/>
        </w:rPr>
        <w:t xml:space="preserve"> conforme segue:</w:t>
      </w:r>
    </w:p>
    <w:tbl>
      <w:tblPr>
        <w:tblStyle w:val="Tabelacomgrade1"/>
        <w:tblW w:w="9180" w:type="dxa"/>
        <w:tblLook w:val="04A0" w:firstRow="1" w:lastRow="0" w:firstColumn="1" w:lastColumn="0" w:noHBand="0" w:noVBand="1"/>
      </w:tblPr>
      <w:tblGrid>
        <w:gridCol w:w="737"/>
        <w:gridCol w:w="811"/>
        <w:gridCol w:w="766"/>
        <w:gridCol w:w="4388"/>
        <w:gridCol w:w="1044"/>
        <w:gridCol w:w="1434"/>
      </w:tblGrid>
      <w:tr w:rsidR="00EC31DB" w:rsidRPr="00EC31DB" w:rsidTr="00746E56">
        <w:tc>
          <w:tcPr>
            <w:tcW w:w="737"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ITEM</w:t>
            </w:r>
          </w:p>
        </w:tc>
        <w:tc>
          <w:tcPr>
            <w:tcW w:w="811"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QTDE</w:t>
            </w:r>
          </w:p>
        </w:tc>
        <w:tc>
          <w:tcPr>
            <w:tcW w:w="766"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UNID</w:t>
            </w:r>
          </w:p>
        </w:tc>
        <w:tc>
          <w:tcPr>
            <w:tcW w:w="4388" w:type="dxa"/>
          </w:tcPr>
          <w:p w:rsidR="00EC31DB" w:rsidRPr="00EC31DB" w:rsidRDefault="00EC31DB" w:rsidP="00EC31DB">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ESPECIFICAÇÃO</w:t>
            </w:r>
          </w:p>
        </w:tc>
        <w:tc>
          <w:tcPr>
            <w:tcW w:w="1044"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R$ UNIT</w:t>
            </w:r>
          </w:p>
        </w:tc>
        <w:tc>
          <w:tcPr>
            <w:tcW w:w="1434"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R$ TOTAL</w:t>
            </w:r>
          </w:p>
        </w:tc>
      </w:tr>
      <w:tr w:rsidR="00EC31DB" w:rsidRPr="00EC31DB" w:rsidTr="00746E56">
        <w:trPr>
          <w:trHeight w:val="397"/>
        </w:trPr>
        <w:tc>
          <w:tcPr>
            <w:tcW w:w="737"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01</w:t>
            </w:r>
          </w:p>
        </w:tc>
        <w:tc>
          <w:tcPr>
            <w:tcW w:w="811"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766"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UN</w:t>
            </w:r>
          </w:p>
        </w:tc>
        <w:tc>
          <w:tcPr>
            <w:tcW w:w="4388" w:type="dxa"/>
          </w:tcPr>
          <w:p w:rsidR="00EC31DB" w:rsidRPr="00EC31DB" w:rsidRDefault="00EC31DB" w:rsidP="00EC31DB">
            <w:pPr>
              <w:tabs>
                <w:tab w:val="left" w:pos="720"/>
              </w:tabs>
              <w:autoSpaceDE w:val="0"/>
              <w:autoSpaceDN w:val="0"/>
              <w:adjustRightInd w:val="0"/>
              <w:spacing w:line="200" w:lineRule="atLeast"/>
              <w:jc w:val="both"/>
              <w:rPr>
                <w:rFonts w:ascii="Tahoma" w:eastAsia="Times New Roman" w:hAnsi="Tahoma" w:cs="Tahoma"/>
                <w:sz w:val="20"/>
                <w:szCs w:val="20"/>
                <w:lang w:eastAsia="pt-BR"/>
              </w:rPr>
            </w:pPr>
            <w:proofErr w:type="gramStart"/>
            <w:r w:rsidRPr="00EC31DB">
              <w:rPr>
                <w:rFonts w:ascii="Tahoma" w:eastAsia="Times New Roman" w:hAnsi="Tahoma" w:cs="Tahoma"/>
                <w:sz w:val="20"/>
                <w:szCs w:val="20"/>
                <w:lang w:eastAsia="pt-BR"/>
              </w:rPr>
              <w:t>Lavação externa e interna do veículo FIAT UNO</w:t>
            </w:r>
            <w:proofErr w:type="gramEnd"/>
            <w:r w:rsidRPr="00EC31DB">
              <w:rPr>
                <w:rFonts w:ascii="Tahoma" w:eastAsia="Times New Roman" w:hAnsi="Tahoma" w:cs="Tahoma"/>
                <w:sz w:val="20"/>
                <w:szCs w:val="20"/>
                <w:lang w:eastAsia="pt-BR"/>
              </w:rPr>
              <w:t xml:space="preserve"> placa MHE 5908</w:t>
            </w:r>
          </w:p>
        </w:tc>
        <w:tc>
          <w:tcPr>
            <w:tcW w:w="1044"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30,00</w:t>
            </w:r>
          </w:p>
        </w:tc>
        <w:tc>
          <w:tcPr>
            <w:tcW w:w="1434" w:type="dxa"/>
          </w:tcPr>
          <w:p w:rsidR="00EC31DB" w:rsidRPr="00EC31DB" w:rsidRDefault="00746E56"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750,00</w:t>
            </w:r>
          </w:p>
        </w:tc>
      </w:tr>
      <w:tr w:rsidR="00EC31DB" w:rsidRPr="00EC31DB" w:rsidTr="00746E56">
        <w:trPr>
          <w:trHeight w:val="333"/>
        </w:trPr>
        <w:tc>
          <w:tcPr>
            <w:tcW w:w="737"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0</w:t>
            </w:r>
            <w:r>
              <w:rPr>
                <w:rFonts w:ascii="Tahoma" w:eastAsia="Times New Roman" w:hAnsi="Tahoma" w:cs="Tahoma"/>
                <w:sz w:val="20"/>
                <w:szCs w:val="20"/>
                <w:lang w:eastAsia="pt-BR"/>
              </w:rPr>
              <w:t>2</w:t>
            </w:r>
          </w:p>
        </w:tc>
        <w:tc>
          <w:tcPr>
            <w:tcW w:w="811"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766"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UN</w:t>
            </w:r>
          </w:p>
        </w:tc>
        <w:tc>
          <w:tcPr>
            <w:tcW w:w="4388" w:type="dxa"/>
          </w:tcPr>
          <w:p w:rsidR="00EC31DB" w:rsidRPr="00EC31DB" w:rsidRDefault="00EC31DB" w:rsidP="00EC31DB">
            <w:pPr>
              <w:tabs>
                <w:tab w:val="left" w:pos="720"/>
              </w:tabs>
              <w:autoSpaceDE w:val="0"/>
              <w:autoSpaceDN w:val="0"/>
              <w:adjustRightInd w:val="0"/>
              <w:spacing w:line="200" w:lineRule="atLeast"/>
              <w:jc w:val="both"/>
              <w:rPr>
                <w:rFonts w:ascii="Tahoma" w:eastAsia="Times New Roman" w:hAnsi="Tahoma" w:cs="Tahoma"/>
                <w:sz w:val="20"/>
                <w:szCs w:val="20"/>
                <w:lang w:eastAsia="pt-BR"/>
              </w:rPr>
            </w:pPr>
            <w:r w:rsidRPr="00EC31DB">
              <w:rPr>
                <w:rFonts w:ascii="Tahoma" w:eastAsia="Times New Roman" w:hAnsi="Tahoma" w:cs="Tahoma"/>
                <w:sz w:val="20"/>
                <w:szCs w:val="20"/>
                <w:lang w:eastAsia="pt-BR"/>
              </w:rPr>
              <w:t>Lavação externa e interna do veículo VW saveiro placa QHH 2615</w:t>
            </w:r>
          </w:p>
        </w:tc>
        <w:tc>
          <w:tcPr>
            <w:tcW w:w="1044"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sidRPr="00EC31DB">
              <w:rPr>
                <w:rFonts w:ascii="Tahoma" w:eastAsia="Times New Roman" w:hAnsi="Tahoma" w:cs="Tahoma"/>
                <w:sz w:val="20"/>
                <w:szCs w:val="20"/>
                <w:lang w:eastAsia="pt-BR"/>
              </w:rPr>
              <w:t>30,00</w:t>
            </w:r>
          </w:p>
        </w:tc>
        <w:tc>
          <w:tcPr>
            <w:tcW w:w="1434" w:type="dxa"/>
          </w:tcPr>
          <w:p w:rsidR="00EC31DB" w:rsidRPr="00EC31DB" w:rsidRDefault="00746E56"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750,00</w:t>
            </w:r>
          </w:p>
        </w:tc>
      </w:tr>
      <w:tr w:rsidR="00EC31DB" w:rsidRPr="00EC31DB" w:rsidTr="00746E56">
        <w:trPr>
          <w:trHeight w:val="333"/>
        </w:trPr>
        <w:tc>
          <w:tcPr>
            <w:tcW w:w="737"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03</w:t>
            </w:r>
          </w:p>
        </w:tc>
        <w:tc>
          <w:tcPr>
            <w:tcW w:w="811"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25</w:t>
            </w:r>
          </w:p>
        </w:tc>
        <w:tc>
          <w:tcPr>
            <w:tcW w:w="766"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UN</w:t>
            </w:r>
          </w:p>
        </w:tc>
        <w:tc>
          <w:tcPr>
            <w:tcW w:w="4388" w:type="dxa"/>
          </w:tcPr>
          <w:p w:rsidR="00EC31DB" w:rsidRPr="00EC31DB" w:rsidRDefault="00053CA7" w:rsidP="00EC31DB">
            <w:pPr>
              <w:tabs>
                <w:tab w:val="left" w:pos="720"/>
              </w:tabs>
              <w:autoSpaceDE w:val="0"/>
              <w:autoSpaceDN w:val="0"/>
              <w:adjustRightInd w:val="0"/>
              <w:spacing w:line="200" w:lineRule="atLeast"/>
              <w:jc w:val="both"/>
              <w:rPr>
                <w:rFonts w:ascii="Tahoma" w:eastAsia="Times New Roman" w:hAnsi="Tahoma" w:cs="Tahoma"/>
                <w:sz w:val="20"/>
                <w:szCs w:val="20"/>
                <w:lang w:eastAsia="pt-BR"/>
              </w:rPr>
            </w:pPr>
            <w:r>
              <w:rPr>
                <w:rFonts w:ascii="Tahoma" w:eastAsia="Times New Roman" w:hAnsi="Tahoma" w:cs="Tahoma"/>
                <w:sz w:val="20"/>
                <w:szCs w:val="20"/>
                <w:lang w:eastAsia="pt-BR"/>
              </w:rPr>
              <w:t>Lavação externa e interna veículo VW Kombi placa LZY 4872</w:t>
            </w:r>
          </w:p>
        </w:tc>
        <w:tc>
          <w:tcPr>
            <w:tcW w:w="1044" w:type="dxa"/>
          </w:tcPr>
          <w:p w:rsidR="00EC31DB" w:rsidRPr="00EC31DB" w:rsidRDefault="00053CA7"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38,33</w:t>
            </w:r>
          </w:p>
        </w:tc>
        <w:tc>
          <w:tcPr>
            <w:tcW w:w="1434" w:type="dxa"/>
          </w:tcPr>
          <w:p w:rsidR="00EC31DB" w:rsidRPr="00EC31DB" w:rsidRDefault="00053CA7"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r>
              <w:rPr>
                <w:rFonts w:ascii="Tahoma" w:eastAsia="Times New Roman" w:hAnsi="Tahoma" w:cs="Tahoma"/>
                <w:sz w:val="20"/>
                <w:szCs w:val="20"/>
                <w:lang w:eastAsia="pt-BR"/>
              </w:rPr>
              <w:t>958,25</w:t>
            </w:r>
          </w:p>
        </w:tc>
      </w:tr>
      <w:tr w:rsidR="00EC31DB" w:rsidRPr="00EC31DB" w:rsidTr="00746E56">
        <w:trPr>
          <w:trHeight w:val="333"/>
        </w:trPr>
        <w:tc>
          <w:tcPr>
            <w:tcW w:w="737"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811"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766"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4388" w:type="dxa"/>
          </w:tcPr>
          <w:p w:rsidR="00EC31DB" w:rsidRPr="00EC31DB" w:rsidRDefault="00EC31DB" w:rsidP="00EC31DB">
            <w:pPr>
              <w:tabs>
                <w:tab w:val="left" w:pos="720"/>
              </w:tabs>
              <w:autoSpaceDE w:val="0"/>
              <w:autoSpaceDN w:val="0"/>
              <w:adjustRightInd w:val="0"/>
              <w:spacing w:line="200" w:lineRule="atLeast"/>
              <w:jc w:val="both"/>
              <w:rPr>
                <w:rFonts w:ascii="Tahoma" w:eastAsia="Times New Roman" w:hAnsi="Tahoma" w:cs="Tahoma"/>
                <w:b/>
                <w:sz w:val="20"/>
                <w:szCs w:val="20"/>
                <w:lang w:eastAsia="pt-BR"/>
              </w:rPr>
            </w:pPr>
            <w:r w:rsidRPr="00EC31DB">
              <w:rPr>
                <w:rFonts w:ascii="Tahoma" w:eastAsia="Times New Roman" w:hAnsi="Tahoma" w:cs="Tahoma"/>
                <w:b/>
                <w:sz w:val="20"/>
                <w:szCs w:val="20"/>
                <w:lang w:eastAsia="pt-BR"/>
              </w:rPr>
              <w:t xml:space="preserve">                          TOTAL</w:t>
            </w:r>
          </w:p>
        </w:tc>
        <w:tc>
          <w:tcPr>
            <w:tcW w:w="1044" w:type="dxa"/>
          </w:tcPr>
          <w:p w:rsidR="00EC31DB" w:rsidRPr="00EC31DB" w:rsidRDefault="00EC31DB" w:rsidP="00EC31DB">
            <w:pPr>
              <w:tabs>
                <w:tab w:val="left" w:pos="720"/>
              </w:tabs>
              <w:autoSpaceDE w:val="0"/>
              <w:autoSpaceDN w:val="0"/>
              <w:adjustRightInd w:val="0"/>
              <w:spacing w:line="200" w:lineRule="atLeast"/>
              <w:jc w:val="center"/>
              <w:rPr>
                <w:rFonts w:ascii="Tahoma" w:eastAsia="Times New Roman" w:hAnsi="Tahoma" w:cs="Tahoma"/>
                <w:sz w:val="20"/>
                <w:szCs w:val="20"/>
                <w:lang w:eastAsia="pt-BR"/>
              </w:rPr>
            </w:pPr>
          </w:p>
        </w:tc>
        <w:tc>
          <w:tcPr>
            <w:tcW w:w="1434" w:type="dxa"/>
          </w:tcPr>
          <w:p w:rsidR="00EC31DB" w:rsidRPr="00EC31DB" w:rsidRDefault="00746E56" w:rsidP="00746E56">
            <w:pPr>
              <w:tabs>
                <w:tab w:val="left" w:pos="720"/>
              </w:tabs>
              <w:autoSpaceDE w:val="0"/>
              <w:autoSpaceDN w:val="0"/>
              <w:adjustRightInd w:val="0"/>
              <w:spacing w:line="200" w:lineRule="atLeast"/>
              <w:jc w:val="center"/>
              <w:rPr>
                <w:rFonts w:ascii="Tahoma" w:eastAsia="Times New Roman" w:hAnsi="Tahoma" w:cs="Tahoma"/>
                <w:b/>
                <w:sz w:val="20"/>
                <w:szCs w:val="20"/>
                <w:lang w:eastAsia="pt-BR"/>
              </w:rPr>
            </w:pPr>
            <w:r>
              <w:rPr>
                <w:rFonts w:ascii="Tahoma" w:eastAsia="Times New Roman" w:hAnsi="Tahoma" w:cs="Tahoma"/>
                <w:b/>
                <w:sz w:val="20"/>
                <w:szCs w:val="20"/>
                <w:lang w:eastAsia="pt-BR"/>
              </w:rPr>
              <w:t>R$2.458,25</w:t>
            </w:r>
          </w:p>
        </w:tc>
      </w:tr>
    </w:tbl>
    <w:p w:rsidR="00C31F45" w:rsidRPr="0064114E" w:rsidRDefault="00C31F45" w:rsidP="0064114E">
      <w:pPr>
        <w:spacing w:after="0" w:line="240" w:lineRule="auto"/>
        <w:jc w:val="both"/>
        <w:rPr>
          <w:rFonts w:ascii="Times New Roman" w:eastAsia="Times New Roman" w:hAnsi="Times New Roman" w:cs="Times New Roman"/>
          <w:sz w:val="20"/>
          <w:szCs w:val="20"/>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Default="00D21598" w:rsidP="0064114E">
      <w:pPr>
        <w:spacing w:after="0" w:line="240" w:lineRule="auto"/>
        <w:jc w:val="both"/>
        <w:rPr>
          <w:rFonts w:ascii="Times New Roman" w:eastAsia="Times New Roman" w:hAnsi="Times New Roman" w:cs="Times New Roman"/>
          <w:lang w:eastAsia="pt-BR"/>
        </w:rPr>
      </w:pPr>
    </w:p>
    <w:p w:rsidR="00D21598" w:rsidRPr="0064114E" w:rsidRDefault="00D2159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1.4 Os serviços serão lavação </w:t>
      </w:r>
      <w:r w:rsidR="005A3276">
        <w:rPr>
          <w:rFonts w:ascii="Times New Roman" w:eastAsia="Times New Roman" w:hAnsi="Times New Roman" w:cs="Times New Roman"/>
          <w:lang w:eastAsia="pt-BR"/>
        </w:rPr>
        <w:t>interna e externa nos veículos acima solicitados</w:t>
      </w:r>
      <w:r>
        <w:rPr>
          <w:rFonts w:ascii="Times New Roman" w:eastAsia="Times New Roman" w:hAnsi="Times New Roman" w:cs="Times New Roman"/>
          <w:lang w:eastAsia="pt-BR"/>
        </w:rPr>
        <w:t>,</w:t>
      </w:r>
      <w:r w:rsidR="005A3276">
        <w:rPr>
          <w:rFonts w:ascii="Times New Roman" w:eastAsia="Times New Roman" w:hAnsi="Times New Roman" w:cs="Times New Roman"/>
          <w:lang w:eastAsia="pt-BR"/>
        </w:rPr>
        <w:t xml:space="preserve"> onde serão analisados e conferidos antes da retirada.</w:t>
      </w:r>
      <w:r w:rsidR="006A0B3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w:t>
      </w:r>
    </w:p>
    <w:p w:rsidR="006A0B38" w:rsidRDefault="006A0B38" w:rsidP="0064114E">
      <w:pPr>
        <w:spacing w:after="0" w:line="240" w:lineRule="auto"/>
        <w:jc w:val="both"/>
        <w:rPr>
          <w:rFonts w:ascii="Arial" w:hAnsi="Arial" w:cs="Arial"/>
        </w:rPr>
      </w:pPr>
    </w:p>
    <w:p w:rsidR="0064114E" w:rsidRDefault="006A0B38" w:rsidP="0064114E">
      <w:pPr>
        <w:spacing w:after="0" w:line="240" w:lineRule="auto"/>
        <w:jc w:val="both"/>
        <w:rPr>
          <w:rFonts w:ascii="Times New Roman" w:hAnsi="Times New Roman" w:cs="Times New Roman"/>
        </w:rPr>
      </w:pPr>
      <w:r w:rsidRPr="006A0B38">
        <w:rPr>
          <w:rFonts w:ascii="Times New Roman" w:hAnsi="Times New Roman" w:cs="Times New Roman"/>
        </w:rPr>
        <w:t>1.5</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totalmente limpos e em condições de uso</w:t>
      </w:r>
      <w:r>
        <w:rPr>
          <w:rFonts w:ascii="Times New Roman" w:hAnsi="Times New Roman" w:cs="Times New Roman"/>
        </w:rPr>
        <w:t>;</w:t>
      </w:r>
    </w:p>
    <w:p w:rsidR="006A0B38" w:rsidRDefault="006A0B38" w:rsidP="006A0B38">
      <w:pPr>
        <w:jc w:val="both"/>
        <w:outlineLvl w:val="0"/>
      </w:pPr>
    </w:p>
    <w:p w:rsidR="006A0B38" w:rsidRPr="006A0B38" w:rsidRDefault="006A0B38" w:rsidP="006A0B38">
      <w:pPr>
        <w:jc w:val="both"/>
        <w:outlineLvl w:val="0"/>
        <w:rPr>
          <w:rFonts w:ascii="Times New Roman" w:hAnsi="Times New Roman" w:cs="Times New Roman"/>
        </w:rPr>
      </w:pPr>
      <w:r w:rsidRPr="006A0B38">
        <w:rPr>
          <w:rFonts w:ascii="Times New Roman" w:hAnsi="Times New Roman" w:cs="Times New Roman"/>
        </w:rPr>
        <w:t>1.6</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perfeito estado de funcionamento;</w:t>
      </w:r>
    </w:p>
    <w:p w:rsidR="006A0B38" w:rsidRPr="006A0B38" w:rsidRDefault="006A0B38" w:rsidP="006A0B38">
      <w:pPr>
        <w:jc w:val="both"/>
        <w:outlineLvl w:val="0"/>
        <w:rPr>
          <w:rFonts w:ascii="Times New Roman" w:hAnsi="Times New Roman" w:cs="Times New Roman"/>
        </w:rPr>
      </w:pPr>
    </w:p>
    <w:p w:rsidR="006A0B38" w:rsidRPr="006A0B38" w:rsidRDefault="006A0B38" w:rsidP="006A0B38">
      <w:pPr>
        <w:jc w:val="both"/>
        <w:outlineLvl w:val="0"/>
        <w:rPr>
          <w:rFonts w:ascii="Times New Roman" w:hAnsi="Times New Roman" w:cs="Times New Roman"/>
        </w:rPr>
      </w:pPr>
      <w:r>
        <w:rPr>
          <w:rFonts w:ascii="Times New Roman" w:hAnsi="Times New Roman" w:cs="Times New Roman"/>
        </w:rPr>
        <w:t>1.7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 xml:space="preserve">b) Caso o representante não seja sócio-gerente ou diretor, o seu credenciamento far-se-á através de instrumento público ou particular de procuração, ou termo de credenciamento (conforme </w:t>
      </w:r>
      <w:r w:rsidRPr="0064114E">
        <w:rPr>
          <w:rFonts w:ascii="Times New Roman" w:eastAsia="Times New Roman" w:hAnsi="Times New Roman" w:cs="Times New Roman"/>
          <w:lang w:eastAsia="pt-BR"/>
        </w:rPr>
        <w:lastRenderedPageBreak/>
        <w:t>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1E3C18">
        <w:rPr>
          <w:rFonts w:ascii="Times New Roman" w:eastAsia="Times New Roman" w:hAnsi="Times New Roman" w:cs="Times New Roman"/>
          <w:b/>
          <w:bCs/>
          <w:lang w:eastAsia="pt-BR"/>
        </w:rPr>
        <w:t>16</w:t>
      </w:r>
      <w:r w:rsidR="00D21598">
        <w:rPr>
          <w:rFonts w:ascii="Times New Roman" w:eastAsia="Times New Roman" w:hAnsi="Times New Roman" w:cs="Times New Roman"/>
          <w:b/>
          <w:bCs/>
          <w:lang w:eastAsia="pt-BR"/>
        </w:rPr>
        <w:t>3</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 xml:space="preserve">PREGÃO PRESENCIAL Nº </w:t>
      </w:r>
      <w:r w:rsidR="001E3C18">
        <w:rPr>
          <w:rFonts w:ascii="Times New Roman" w:eastAsia="Times New Roman" w:hAnsi="Times New Roman" w:cs="Times New Roman"/>
          <w:b/>
          <w:bCs/>
          <w:lang w:eastAsia="pt-BR"/>
        </w:rPr>
        <w:t>16</w:t>
      </w:r>
      <w:r w:rsidR="00D21598">
        <w:rPr>
          <w:rFonts w:ascii="Times New Roman" w:eastAsia="Times New Roman" w:hAnsi="Times New Roman" w:cs="Times New Roman"/>
          <w:b/>
          <w:bCs/>
          <w:lang w:eastAsia="pt-BR"/>
        </w:rPr>
        <w:t>3</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1E3C18" w:rsidRDefault="001E3C18"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Pr>
          <w:rFonts w:ascii="Times New Roman" w:eastAsia="Times New Roman" w:hAnsi="Times New Roman" w:cs="Times New Roman"/>
          <w:b/>
          <w:vertAlign w:val="superscript"/>
          <w:lang w:eastAsia="pt-BR"/>
        </w:rPr>
        <w:tab/>
      </w:r>
      <w:r>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F72A16" w:rsidRPr="0064114E" w:rsidRDefault="00F72A16"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1E3C18">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lastRenderedPageBreak/>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lastRenderedPageBreak/>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lang w:eastAsia="pt-BR"/>
        </w:rPr>
        <w:t xml:space="preserve">SECRETARIA MUNICIPAL DE AGRICULTURA, </w:t>
      </w:r>
      <w:proofErr w:type="gramStart"/>
      <w:r w:rsidRPr="00D21598">
        <w:rPr>
          <w:rFonts w:ascii="Times New Roman" w:eastAsia="Times New Roman" w:hAnsi="Times New Roman" w:cs="Times New Roman"/>
          <w:lang w:eastAsia="pt-BR"/>
        </w:rPr>
        <w:t>INDUSTRIA</w:t>
      </w:r>
      <w:proofErr w:type="gramEnd"/>
      <w:r w:rsidRPr="00D21598">
        <w:rPr>
          <w:rFonts w:ascii="Times New Roman" w:eastAsia="Times New Roman" w:hAnsi="Times New Roman" w:cs="Times New Roman"/>
          <w:lang w:eastAsia="pt-BR"/>
        </w:rPr>
        <w:t>, COMÉRCIO, MEIO AMBIENTE E DESENVOLVIMENTO ECONÔMICO</w:t>
      </w:r>
      <w:r w:rsidRPr="00D21598">
        <w:rPr>
          <w:rFonts w:ascii="Times New Roman" w:eastAsia="Times New Roman" w:hAnsi="Times New Roman" w:cs="Times New Roman"/>
          <w:color w:val="000000"/>
          <w:lang w:eastAsia="pt-BR"/>
        </w:rPr>
        <w:t xml:space="preserve"> </w:t>
      </w: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Atividade 2027</w:t>
      </w: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3.3.90.39.19.0149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5D2F48" w:rsidP="005D2F48">
      <w:pPr>
        <w:jc w:val="both"/>
        <w:rPr>
          <w:rFonts w:ascii="Times New Roman" w:hAnsi="Times New Roman" w:cs="Times New Roman"/>
        </w:rPr>
      </w:pPr>
      <w:r w:rsidRPr="005D2F48">
        <w:rPr>
          <w:rFonts w:ascii="Times New Roman" w:hAnsi="Times New Roman" w:cs="Times New Roman"/>
        </w:rPr>
        <w:t>13.4.3. Manter, até o efetivo recebimento definitivo, todas as condições de habilitação e qualificação necessárias para contratação com a Administração Pública.</w:t>
      </w:r>
    </w:p>
    <w:p w:rsidR="0064114E" w:rsidRPr="005D2F48" w:rsidRDefault="005D2F48" w:rsidP="005D2F48">
      <w:pPr>
        <w:jc w:val="both"/>
        <w:rPr>
          <w:rFonts w:ascii="Times New Roman" w:hAnsi="Times New Roman" w:cs="Times New Roman"/>
        </w:rPr>
      </w:pPr>
      <w:r w:rsidRPr="005D2F48">
        <w:rPr>
          <w:rFonts w:ascii="Times New Roman" w:hAnsi="Times New Roman" w:cs="Times New Roman"/>
        </w:rPr>
        <w:t>13.4.</w:t>
      </w:r>
      <w:r w:rsidR="00525B3F">
        <w:rPr>
          <w:rFonts w:ascii="Times New Roman" w:hAnsi="Times New Roman" w:cs="Times New Roman"/>
        </w:rPr>
        <w:t>4</w:t>
      </w:r>
      <w:r w:rsidRPr="005D2F48">
        <w:rPr>
          <w:rFonts w:ascii="Times New Roman" w:hAnsi="Times New Roman" w:cs="Times New Roman"/>
        </w:rPr>
        <w:t xml:space="preserve">. Não transferir a outrem, no todo ou em parte, as obrigações assumidas em razão </w:t>
      </w:r>
      <w:proofErr w:type="gramStart"/>
      <w:r w:rsidRPr="005D2F48">
        <w:rPr>
          <w:rFonts w:ascii="Times New Roman" w:hAnsi="Times New Roman" w:cs="Times New Roman"/>
        </w:rPr>
        <w:t>da presente</w:t>
      </w:r>
      <w:proofErr w:type="gramEnd"/>
      <w:r w:rsidRPr="005D2F48">
        <w:rPr>
          <w:rFonts w:ascii="Times New Roman" w:hAnsi="Times New Roman" w:cs="Times New Roman"/>
        </w:rPr>
        <w:t xml:space="preserve"> aquisição.</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lastRenderedPageBreak/>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525B3F" w:rsidRDefault="00525B3F" w:rsidP="00525B3F"/>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w:t>
      </w:r>
      <w:r w:rsidR="00525B3F">
        <w:rPr>
          <w:rFonts w:ascii="Times New Roman" w:eastAsia="Times New Roman" w:hAnsi="Times New Roman" w:cs="Times New Roman"/>
          <w:b/>
          <w:bCs/>
          <w:lang w:eastAsia="pt-BR"/>
        </w:rPr>
        <w:t>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8F2D93">
        <w:rPr>
          <w:rFonts w:ascii="Times New Roman" w:eastAsia="Times New Roman" w:hAnsi="Times New Roman" w:cs="Times New Roman"/>
          <w:lang w:eastAsia="pt-BR"/>
        </w:rPr>
        <w:t>16</w:t>
      </w:r>
      <w:r w:rsidR="00525B3F">
        <w:rPr>
          <w:rFonts w:ascii="Times New Roman" w:eastAsia="Times New Roman" w:hAnsi="Times New Roman" w:cs="Times New Roman"/>
          <w:lang w:eastAsia="pt-BR"/>
        </w:rPr>
        <w:t>3</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w:t>
      </w:r>
      <w:r w:rsidR="00525B3F">
        <w:rPr>
          <w:rFonts w:ascii="Times New Roman" w:eastAsia="Times New Roman" w:hAnsi="Times New Roman" w:cs="Times New Roman"/>
          <w:b/>
          <w:bCs/>
          <w:lang w:eastAsia="pt-BR"/>
        </w:rPr>
        <w:t>3</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w:t>
      </w:r>
      <w:r w:rsidR="00525B3F">
        <w:rPr>
          <w:rFonts w:ascii="Times New Roman" w:eastAsia="Times New Roman" w:hAnsi="Times New Roman" w:cs="Times New Roman"/>
          <w:b/>
          <w:bCs/>
          <w:lang w:eastAsia="pt-BR"/>
        </w:rPr>
        <w:t>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8F2D93">
        <w:rPr>
          <w:rFonts w:ascii="Times New Roman" w:eastAsia="Times New Roman" w:hAnsi="Times New Roman" w:cs="Times New Roman"/>
          <w:b/>
          <w:bCs/>
          <w:lang w:eastAsia="pt-BR"/>
        </w:rPr>
        <w:t>16</w:t>
      </w:r>
      <w:r w:rsidR="00525B3F">
        <w:rPr>
          <w:rFonts w:ascii="Times New Roman" w:eastAsia="Times New Roman" w:hAnsi="Times New Roman" w:cs="Times New Roman"/>
          <w:b/>
          <w:bCs/>
          <w:lang w:eastAsia="pt-BR"/>
        </w:rPr>
        <w:t>3</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8F2D93">
        <w:rPr>
          <w:rFonts w:ascii="Times New Roman" w:eastAsia="Times New Roman" w:hAnsi="Times New Roman" w:cs="Times New Roman"/>
          <w:sz w:val="20"/>
          <w:szCs w:val="20"/>
          <w:lang w:eastAsia="pt-BR"/>
        </w:rPr>
        <w:t>16</w:t>
      </w:r>
      <w:r w:rsidR="00525B3F">
        <w:rPr>
          <w:rFonts w:ascii="Times New Roman" w:eastAsia="Times New Roman" w:hAnsi="Times New Roman" w:cs="Times New Roman"/>
          <w:sz w:val="20"/>
          <w:szCs w:val="20"/>
          <w:lang w:eastAsia="pt-BR"/>
        </w:rPr>
        <w:t>3</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525B3F" w:rsidRPr="00EC31DB">
        <w:rPr>
          <w:b/>
        </w:rPr>
        <w:t xml:space="preserve">AQUISIÇÃO DE SERVIÇOS DE LAVAÇÃO DE VEICULOS PERTENCENTES </w:t>
      </w:r>
      <w:proofErr w:type="gramStart"/>
      <w:r w:rsidR="00525B3F" w:rsidRPr="00EC31DB">
        <w:rPr>
          <w:b/>
        </w:rPr>
        <w:t>A</w:t>
      </w:r>
      <w:proofErr w:type="gramEnd"/>
      <w:r w:rsidR="00525B3F" w:rsidRPr="00EC31DB">
        <w:rPr>
          <w:b/>
        </w:rPr>
        <w:t xml:space="preserve"> SECRETARIA MUNICIPAL DE AGRICULTURA, INDUSTRIA, COMÉRCIO, MEIO AMBIENTE E DESENVOLVIMENTO ECONÔMICO, modalidade fornecimento parcelada</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9A494F" w:rsidRPr="0064114E" w:rsidRDefault="009A494F" w:rsidP="009A494F">
      <w:pPr>
        <w:spacing w:after="0" w:line="240" w:lineRule="auto"/>
        <w:jc w:val="both"/>
        <w:rPr>
          <w:rFonts w:ascii="Times New Roman" w:eastAsia="Times New Roman" w:hAnsi="Times New Roman" w:cs="Times New Roman"/>
          <w:sz w:val="20"/>
          <w:szCs w:val="20"/>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w:t>
      </w:r>
      <w:r>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1.4 Os serviços serão lavação interna e externa nos veículos acima solicitados, onde serão analisados e conferidos antes da retirada.   </w:t>
      </w:r>
    </w:p>
    <w:p w:rsidR="009A494F" w:rsidRDefault="009A494F" w:rsidP="009A494F">
      <w:pPr>
        <w:spacing w:after="0" w:line="240" w:lineRule="auto"/>
        <w:jc w:val="both"/>
        <w:rPr>
          <w:rFonts w:ascii="Arial" w:hAnsi="Arial" w:cs="Arial"/>
        </w:rPr>
      </w:pPr>
    </w:p>
    <w:p w:rsidR="009A494F" w:rsidRDefault="009A494F" w:rsidP="009A494F">
      <w:pPr>
        <w:spacing w:after="0" w:line="240" w:lineRule="auto"/>
        <w:jc w:val="both"/>
        <w:rPr>
          <w:rFonts w:ascii="Times New Roman" w:hAnsi="Times New Roman" w:cs="Times New Roman"/>
        </w:rPr>
      </w:pPr>
      <w:r w:rsidRPr="006A0B38">
        <w:rPr>
          <w:rFonts w:ascii="Times New Roman" w:hAnsi="Times New Roman" w:cs="Times New Roman"/>
        </w:rPr>
        <w:t>1.5</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totalmente limpos e em condições de uso</w:t>
      </w:r>
      <w:r>
        <w:rPr>
          <w:rFonts w:ascii="Times New Roman" w:hAnsi="Times New Roman" w:cs="Times New Roman"/>
        </w:rPr>
        <w:t>;</w:t>
      </w:r>
    </w:p>
    <w:p w:rsidR="009A494F" w:rsidRPr="009A494F" w:rsidRDefault="009A494F" w:rsidP="009A494F">
      <w:pPr>
        <w:spacing w:after="0" w:line="240" w:lineRule="auto"/>
        <w:jc w:val="both"/>
        <w:rPr>
          <w:rFonts w:ascii="Times New Roman" w:hAnsi="Times New Roman" w:cs="Times New Roman"/>
        </w:rPr>
      </w:pPr>
    </w:p>
    <w:p w:rsidR="009A494F" w:rsidRPr="006A0B38" w:rsidRDefault="009A494F" w:rsidP="009A494F">
      <w:pPr>
        <w:jc w:val="both"/>
        <w:outlineLvl w:val="0"/>
        <w:rPr>
          <w:rFonts w:ascii="Times New Roman" w:hAnsi="Times New Roman" w:cs="Times New Roman"/>
        </w:rPr>
      </w:pPr>
      <w:r w:rsidRPr="006A0B38">
        <w:rPr>
          <w:rFonts w:ascii="Times New Roman" w:hAnsi="Times New Roman" w:cs="Times New Roman"/>
        </w:rPr>
        <w:t>1.6</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perfeito estado de funcionamento;</w:t>
      </w:r>
    </w:p>
    <w:p w:rsidR="00BA5539" w:rsidRPr="009A494F" w:rsidRDefault="009A494F" w:rsidP="009A494F">
      <w:pPr>
        <w:jc w:val="both"/>
        <w:outlineLvl w:val="0"/>
        <w:rPr>
          <w:rFonts w:ascii="Times New Roman" w:hAnsi="Times New Roman" w:cs="Times New Roman"/>
        </w:rPr>
      </w:pPr>
      <w:r>
        <w:rPr>
          <w:rFonts w:ascii="Times New Roman" w:hAnsi="Times New Roman" w:cs="Times New Roman"/>
        </w:rPr>
        <w:t>1.7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lastRenderedPageBreak/>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contrato que é de 12 (doze) meses.</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746E56" w:rsidRPr="00D21598" w:rsidRDefault="00746E56" w:rsidP="00746E56">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lang w:eastAsia="pt-BR"/>
        </w:rPr>
        <w:t xml:space="preserve">SECRETARIA MUNICIPAL DE AGRICULTURA, </w:t>
      </w:r>
      <w:proofErr w:type="gramStart"/>
      <w:r w:rsidRPr="00D21598">
        <w:rPr>
          <w:rFonts w:ascii="Times New Roman" w:eastAsia="Times New Roman" w:hAnsi="Times New Roman" w:cs="Times New Roman"/>
          <w:lang w:eastAsia="pt-BR"/>
        </w:rPr>
        <w:t>INDUSTRIA</w:t>
      </w:r>
      <w:proofErr w:type="gramEnd"/>
      <w:r w:rsidRPr="00D21598">
        <w:rPr>
          <w:rFonts w:ascii="Times New Roman" w:eastAsia="Times New Roman" w:hAnsi="Times New Roman" w:cs="Times New Roman"/>
          <w:lang w:eastAsia="pt-BR"/>
        </w:rPr>
        <w:t>, COMÉRCIO, MEIO AMBIENTE E DESENVOLVIMENTO ECONÔMICO</w:t>
      </w:r>
      <w:r w:rsidRPr="00D21598">
        <w:rPr>
          <w:rFonts w:ascii="Times New Roman" w:eastAsia="Times New Roman" w:hAnsi="Times New Roman" w:cs="Times New Roman"/>
          <w:color w:val="000000"/>
          <w:lang w:eastAsia="pt-BR"/>
        </w:rPr>
        <w:t xml:space="preserve"> </w:t>
      </w:r>
    </w:p>
    <w:p w:rsidR="00746E56" w:rsidRPr="00D21598" w:rsidRDefault="00746E56" w:rsidP="00746E56">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746E56" w:rsidRPr="00D21598" w:rsidRDefault="00746E56" w:rsidP="00746E56">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Atividade 2027</w:t>
      </w:r>
    </w:p>
    <w:p w:rsidR="00746E56" w:rsidRPr="00D21598" w:rsidRDefault="00746E56" w:rsidP="00746E56">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3.3.90.39.19.0149 – Aplicações Diretas</w:t>
      </w:r>
    </w:p>
    <w:p w:rsidR="00746E56" w:rsidRDefault="00746E56" w:rsidP="00746E56">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bookmarkStart w:id="0" w:name="_GoBack"/>
      <w:bookmarkEnd w:id="0"/>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w:t>
      </w:r>
      <w:r w:rsidRPr="002275B7">
        <w:rPr>
          <w:rFonts w:ascii="Times New Roman" w:eastAsia="Times New Roman" w:hAnsi="Times New Roman" w:cs="Times New Roman"/>
          <w:sz w:val="20"/>
          <w:szCs w:val="20"/>
          <w:lang w:eastAsia="pt-BR"/>
        </w:rPr>
        <w:lastRenderedPageBreak/>
        <w:t xml:space="preserve">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8F2D93">
        <w:rPr>
          <w:rFonts w:ascii="Times New Roman" w:eastAsia="Times New Roman" w:hAnsi="Times New Roman" w:cs="Times New Roman"/>
          <w:sz w:val="20"/>
          <w:szCs w:val="20"/>
          <w:lang w:eastAsia="pt-BR"/>
        </w:rPr>
        <w:t>16</w:t>
      </w:r>
      <w:r w:rsidR="00746E56">
        <w:rPr>
          <w:rFonts w:ascii="Times New Roman" w:eastAsia="Times New Roman" w:hAnsi="Times New Roman" w:cs="Times New Roman"/>
          <w:sz w:val="20"/>
          <w:szCs w:val="20"/>
          <w:lang w:eastAsia="pt-BR"/>
        </w:rPr>
        <w:t>3</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lastRenderedPageBreak/>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5FC" w:rsidRDefault="002145FC" w:rsidP="0064114E">
      <w:pPr>
        <w:spacing w:after="0" w:line="240" w:lineRule="auto"/>
      </w:pPr>
      <w:r>
        <w:separator/>
      </w:r>
    </w:p>
  </w:endnote>
  <w:endnote w:type="continuationSeparator" w:id="0">
    <w:p w:rsidR="002145FC" w:rsidRDefault="002145FC"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5FC" w:rsidRDefault="002145FC" w:rsidP="0064114E">
      <w:pPr>
        <w:spacing w:after="0" w:line="240" w:lineRule="auto"/>
      </w:pPr>
      <w:r>
        <w:separator/>
      </w:r>
    </w:p>
  </w:footnote>
  <w:footnote w:type="continuationSeparator" w:id="0">
    <w:p w:rsidR="002145FC" w:rsidRDefault="002145FC"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53CA7"/>
    <w:rsid w:val="00072F81"/>
    <w:rsid w:val="000A2EAA"/>
    <w:rsid w:val="000F7EDA"/>
    <w:rsid w:val="001A61BD"/>
    <w:rsid w:val="001C34C7"/>
    <w:rsid w:val="001E3C18"/>
    <w:rsid w:val="002145FC"/>
    <w:rsid w:val="002275B7"/>
    <w:rsid w:val="002457B5"/>
    <w:rsid w:val="002C3121"/>
    <w:rsid w:val="002D004A"/>
    <w:rsid w:val="002F413C"/>
    <w:rsid w:val="00312E99"/>
    <w:rsid w:val="0035135E"/>
    <w:rsid w:val="003706E6"/>
    <w:rsid w:val="00375F13"/>
    <w:rsid w:val="003B584A"/>
    <w:rsid w:val="003E2AC4"/>
    <w:rsid w:val="00404713"/>
    <w:rsid w:val="0049246E"/>
    <w:rsid w:val="004D26CE"/>
    <w:rsid w:val="004F39BE"/>
    <w:rsid w:val="00514441"/>
    <w:rsid w:val="0052569F"/>
    <w:rsid w:val="00525B3F"/>
    <w:rsid w:val="00525C29"/>
    <w:rsid w:val="005A3276"/>
    <w:rsid w:val="005C15CB"/>
    <w:rsid w:val="005C368E"/>
    <w:rsid w:val="005C6E7C"/>
    <w:rsid w:val="005D2F48"/>
    <w:rsid w:val="0064114E"/>
    <w:rsid w:val="006731A2"/>
    <w:rsid w:val="006A0B38"/>
    <w:rsid w:val="006C18FC"/>
    <w:rsid w:val="00746E56"/>
    <w:rsid w:val="00752C3E"/>
    <w:rsid w:val="007555B2"/>
    <w:rsid w:val="007D1E85"/>
    <w:rsid w:val="00806503"/>
    <w:rsid w:val="008446F2"/>
    <w:rsid w:val="008E2901"/>
    <w:rsid w:val="008F2D93"/>
    <w:rsid w:val="0097064A"/>
    <w:rsid w:val="009A494F"/>
    <w:rsid w:val="009C11B0"/>
    <w:rsid w:val="00AC36A7"/>
    <w:rsid w:val="00AF1F3C"/>
    <w:rsid w:val="00AF61BD"/>
    <w:rsid w:val="00B51D44"/>
    <w:rsid w:val="00B60179"/>
    <w:rsid w:val="00B866E3"/>
    <w:rsid w:val="00BA5539"/>
    <w:rsid w:val="00BC3BEF"/>
    <w:rsid w:val="00BE10A4"/>
    <w:rsid w:val="00BF7BE1"/>
    <w:rsid w:val="00BF7E3D"/>
    <w:rsid w:val="00C10197"/>
    <w:rsid w:val="00C2310C"/>
    <w:rsid w:val="00C31F45"/>
    <w:rsid w:val="00C36BF9"/>
    <w:rsid w:val="00C62376"/>
    <w:rsid w:val="00CE036C"/>
    <w:rsid w:val="00CE4869"/>
    <w:rsid w:val="00D21598"/>
    <w:rsid w:val="00E010A6"/>
    <w:rsid w:val="00E24936"/>
    <w:rsid w:val="00E4219F"/>
    <w:rsid w:val="00E53CD5"/>
    <w:rsid w:val="00EC31DB"/>
    <w:rsid w:val="00F72A16"/>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D4AC-EBBE-4331-8942-DF401770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8258</Words>
  <Characters>44596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16</cp:revision>
  <cp:lastPrinted>2016-10-14T14:01:00Z</cp:lastPrinted>
  <dcterms:created xsi:type="dcterms:W3CDTF">2016-03-08T17:35:00Z</dcterms:created>
  <dcterms:modified xsi:type="dcterms:W3CDTF">2016-10-14T14:01:00Z</dcterms:modified>
</cp:coreProperties>
</file>